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0F9" w:rsidRDefault="004178B6">
      <w:pPr>
        <w:pStyle w:val="Heading1"/>
        <w:rPr>
          <w:rFonts w:ascii="Calibri" w:eastAsia="Calibri" w:hAnsi="Calibri" w:cs="Calibri"/>
          <w:b/>
          <w:color w:val="ED7D31"/>
        </w:rPr>
      </w:pPr>
      <w:r>
        <w:rPr>
          <w:rFonts w:ascii="Calibri" w:eastAsia="Calibri" w:hAnsi="Calibri" w:cs="Calibri"/>
          <w:b/>
          <w:color w:val="ED7D31"/>
        </w:rPr>
        <w:t>Artikel 1 Toepassingsgebied</w:t>
      </w:r>
    </w:p>
    <w:p w:rsidR="00F120F9" w:rsidRDefault="004178B6">
      <w:r>
        <w:t>Deze algemene leveringsvoorwaarden zijn van toepassing bij opdrachten aan en op alle aanbiedingen en overeenkomsten waarbij </w:t>
      </w:r>
      <w:r w:rsidR="00FD26DA">
        <w:t>Fedor Timmerwerken</w:t>
      </w:r>
      <w:r>
        <w:t xml:space="preserve"> partij is, tenzij uitdrukkelijk schriftelijk anders is overeengekomen.</w:t>
      </w:r>
    </w:p>
    <w:p w:rsidR="00F120F9" w:rsidRDefault="004178B6">
      <w:r>
        <w:t>Alle aanbiedingen zijn vrijblijvend. Eventuele inkoop- of andere voorwaarden van cliënt zijn niet van toepassing, tenzij deze door </w:t>
      </w:r>
      <w:r w:rsidR="00FD26DA">
        <w:t xml:space="preserve">Fedor Timmerwerken </w:t>
      </w:r>
      <w:r>
        <w:t>uitdrukk</w:t>
      </w:r>
      <w:r>
        <w:t>elijk schriftelijk zijn aanvaard.</w:t>
      </w:r>
    </w:p>
    <w:p w:rsidR="00F120F9" w:rsidRDefault="004178B6">
      <w:pPr>
        <w:pStyle w:val="Heading1"/>
        <w:rPr>
          <w:rFonts w:ascii="Calibri" w:eastAsia="Calibri" w:hAnsi="Calibri" w:cs="Calibri"/>
          <w:b/>
          <w:color w:val="ED7D31"/>
        </w:rPr>
      </w:pPr>
      <w:r>
        <w:rPr>
          <w:rFonts w:ascii="Calibri" w:eastAsia="Calibri" w:hAnsi="Calibri" w:cs="Calibri"/>
          <w:b/>
          <w:color w:val="ED7D31"/>
        </w:rPr>
        <w:t>Artikel 2 Aangaan overeenkomst</w:t>
      </w:r>
    </w:p>
    <w:p w:rsidR="00F120F9" w:rsidRDefault="004178B6">
      <w:r>
        <w:t xml:space="preserve">Overeenkomsten en nadere overeenkomsten, welke niet schriftelijk zijn aangegaan, zijn voor  </w:t>
      </w:r>
      <w:r>
        <w:rPr>
          <w:shd w:val="clear" w:color="auto" w:fill="BFBFBF"/>
        </w:rPr>
        <w:t xml:space="preserve">                                        </w:t>
      </w:r>
      <w:r>
        <w:t>eerst bindend na schriftelijke bevestiging van de zijde van</w:t>
      </w:r>
      <w:r w:rsidR="00FD26DA" w:rsidRPr="00FD26DA">
        <w:t xml:space="preserve"> </w:t>
      </w:r>
      <w:r w:rsidR="00FD26DA">
        <w:t>Fedor Timmerwerken</w:t>
      </w:r>
      <w:r>
        <w:t>.</w:t>
      </w:r>
    </w:p>
    <w:p w:rsidR="00F120F9" w:rsidRDefault="004178B6">
      <w:r>
        <w:t>De verplichtingen </w:t>
      </w:r>
      <w:r w:rsidR="00FD26DA">
        <w:t>Fedor Timmerwerken</w:t>
      </w:r>
      <w:r>
        <w:t xml:space="preserve"> </w:t>
      </w:r>
      <w:r>
        <w:t>gaan nooit verder dan door </w:t>
      </w:r>
      <w:r w:rsidR="00FD26DA">
        <w:t>Fedor Timmerwerken</w:t>
      </w:r>
      <w:r>
        <w:t xml:space="preserve"> </w:t>
      </w:r>
      <w:r>
        <w:t>schriftelijk is bevestigd.</w:t>
      </w:r>
    </w:p>
    <w:p w:rsidR="00F120F9" w:rsidRDefault="004178B6">
      <w:pPr>
        <w:pStyle w:val="Heading1"/>
        <w:rPr>
          <w:rFonts w:ascii="Calibri" w:eastAsia="Calibri" w:hAnsi="Calibri" w:cs="Calibri"/>
          <w:b/>
          <w:color w:val="ED7D31"/>
        </w:rPr>
      </w:pPr>
      <w:r>
        <w:rPr>
          <w:rFonts w:ascii="Calibri" w:eastAsia="Calibri" w:hAnsi="Calibri" w:cs="Calibri"/>
          <w:b/>
          <w:color w:val="ED7D31"/>
        </w:rPr>
        <w:t>Artikel 3 Offerte en totstandkoming overeenkomst</w:t>
      </w:r>
    </w:p>
    <w:p w:rsidR="00F120F9" w:rsidRDefault="004178B6">
      <w:r>
        <w:t>Alle sch</w:t>
      </w:r>
      <w:r>
        <w:t>riftelijke aanbiedingen van </w:t>
      </w:r>
      <w:r w:rsidR="00FD26DA">
        <w:t>Fedor Timmerwerken</w:t>
      </w:r>
      <w:r>
        <w:t xml:space="preserve"> </w:t>
      </w:r>
      <w:r>
        <w:t>zijn vrijblijvend en geldig gedurende 14 dagen na dagtekening, tenzij in het aanbod schriftelijk uitdrukkelijk anders is aangegeven. Indien cliënt het aanbod niet binnen de voornoemde te</w:t>
      </w:r>
      <w:r>
        <w:t>rmijn heeft aanvaard, vervalt het aanbod tenzij verlenging van het aanbod schriftelijk is overeengekomen. Na verval van het aanbod is </w:t>
      </w:r>
      <w:r w:rsidR="00FD26DA">
        <w:t>Fedor Timmerwerken</w:t>
      </w:r>
      <w:r>
        <w:t xml:space="preserve"> </w:t>
      </w:r>
      <w:r>
        <w:t>gerechtigd het aanbod te wijzigingen.</w:t>
      </w:r>
    </w:p>
    <w:p w:rsidR="00F120F9" w:rsidRDefault="004178B6">
      <w:r>
        <w:t xml:space="preserve">Het aanbod is gebaseerd op de door cliënt </w:t>
      </w:r>
      <w:r>
        <w:t>verstrekte informatie, waarbij </w:t>
      </w:r>
      <w:r w:rsidR="00FD26DA">
        <w:t xml:space="preserve">Fedor Timmerwerken </w:t>
      </w:r>
      <w:r>
        <w:t>mag vertrouwen op de juistheid en volledigheid hiervan.</w:t>
      </w:r>
    </w:p>
    <w:p w:rsidR="00F120F9" w:rsidRDefault="004178B6">
      <w:r>
        <w:t xml:space="preserve">Een overeenkomst komt pas tot stand indien cliënt en </w:t>
      </w:r>
      <w:r w:rsidR="00FD26DA">
        <w:t xml:space="preserve">Fedor Timmerwerken </w:t>
      </w:r>
      <w:r>
        <w:t>de aanvaarding van het aanbod, o</w:t>
      </w:r>
      <w:r>
        <w:t>fwel de opdrachtbevestiging, beiden schriftelijk ondertekend hebben.</w:t>
      </w:r>
    </w:p>
    <w:p w:rsidR="00F120F9" w:rsidRDefault="004178B6">
      <w:pPr>
        <w:rPr>
          <w:b/>
          <w:color w:val="ED7D31"/>
          <w:sz w:val="33"/>
          <w:szCs w:val="33"/>
        </w:rPr>
      </w:pPr>
      <w:r>
        <w:rPr>
          <w:b/>
          <w:color w:val="ED7D31"/>
          <w:sz w:val="33"/>
          <w:szCs w:val="33"/>
        </w:rPr>
        <w:t>Artikel 4 Medewerking door cliënt</w:t>
      </w:r>
    </w:p>
    <w:p w:rsidR="00F120F9" w:rsidRDefault="004178B6">
      <w:r>
        <w:t>Client zal </w:t>
      </w:r>
      <w:r w:rsidR="00FD26DA">
        <w:t xml:space="preserve">Fedor Timmerwerken </w:t>
      </w:r>
      <w:r>
        <w:t>steeds tijdig alle voor een behoorlijke uitvoering van de overeenkomst nuttige en noodzakelijke gegev</w:t>
      </w:r>
      <w:r>
        <w:t>ens of inlichtingen verschaffen en alle medewerking verlenen.</w:t>
      </w:r>
    </w:p>
    <w:p w:rsidR="00F120F9" w:rsidRDefault="004178B6">
      <w:r>
        <w:t xml:space="preserve">Client staat in voor de juistheid, volledigheid en betrouwbaarheid van de aan </w:t>
      </w:r>
      <w:r w:rsidR="00FD26DA">
        <w:t>Fedor Timmerwerken</w:t>
      </w:r>
      <w:r>
        <w:t> </w:t>
      </w:r>
      <w:r>
        <w:t>verstrekte informatie, ook indien deze van derden afkomstig is.</w:t>
      </w:r>
    </w:p>
    <w:p w:rsidR="00F120F9" w:rsidRDefault="004178B6">
      <w:r>
        <w:t xml:space="preserve">Indien de uitvoering van de overeenkomst wordt vertraagd doordat cliënt zijn genoemde verplichting niet nakomt dan wel de door cliënt verstrekte informatie niet voldoet aan het bepaalde, zijn de daaruit voortvloeiende extra kosten voor rekening van cliënt </w:t>
      </w:r>
      <w:r>
        <w:t>en is </w:t>
      </w:r>
      <w:r w:rsidR="00FD26DA">
        <w:t>Fedor Timmerwerken</w:t>
      </w:r>
      <w:r>
        <w:t xml:space="preserve"> </w:t>
      </w:r>
      <w:r>
        <w:t>bevoegd het daardoor noodzakelijke geworden meerwerk in rekening te brengen.</w:t>
      </w:r>
    </w:p>
    <w:p w:rsidR="00F120F9" w:rsidRDefault="004178B6">
      <w:pPr>
        <w:pStyle w:val="Heading1"/>
        <w:rPr>
          <w:rFonts w:ascii="Calibri" w:eastAsia="Calibri" w:hAnsi="Calibri" w:cs="Calibri"/>
          <w:b/>
          <w:color w:val="ED7D31"/>
        </w:rPr>
      </w:pPr>
      <w:r>
        <w:rPr>
          <w:rFonts w:ascii="Calibri" w:eastAsia="Calibri" w:hAnsi="Calibri" w:cs="Calibri"/>
          <w:b/>
          <w:color w:val="ED7D31"/>
        </w:rPr>
        <w:t>Artikel 5 Uitvoering</w:t>
      </w:r>
    </w:p>
    <w:p w:rsidR="00E704E9" w:rsidRDefault="00FD26DA">
      <w:r>
        <w:t xml:space="preserve">Fedor Timmerwerken </w:t>
      </w:r>
      <w:r w:rsidR="004178B6">
        <w:t>neemt bij de uitvoering van de overeenkomst een inspanningsverplich</w:t>
      </w:r>
      <w:r w:rsidR="004178B6">
        <w:t>ting op zich en zal deze overeenkomst naar beste inzicht en vermogen uitvoeren conform de eisen van goed vakmanschap. </w:t>
      </w:r>
    </w:p>
    <w:p w:rsidR="00F120F9" w:rsidRDefault="00FD26DA">
      <w:r>
        <w:lastRenderedPageBreak/>
        <w:t>Fedor Timmerwerken</w:t>
      </w:r>
      <w:r w:rsidR="004178B6">
        <w:t> </w:t>
      </w:r>
      <w:r w:rsidR="004178B6">
        <w:t xml:space="preserve">zal bij het uitvoeren van de overeenkomst zoveel mogelijk rekening houden met redelijke wensen </w:t>
      </w:r>
      <w:r w:rsidR="004178B6">
        <w:t>van cliënt, mits dit naar oordeel van </w:t>
      </w:r>
      <w:r>
        <w:t>Fedor Timmerwerken</w:t>
      </w:r>
      <w:r w:rsidR="004178B6">
        <w:t> </w:t>
      </w:r>
      <w:r w:rsidR="004178B6">
        <w:t>bevorderlijk is voor een behoorlijke uitvoering van de overeenkomst.</w:t>
      </w:r>
    </w:p>
    <w:p w:rsidR="00F120F9" w:rsidRDefault="004178B6">
      <w:r>
        <w:t>Indien en voor zover een behoorlijke uitvoering van de overeenkomst dit vereist, heeft </w:t>
      </w:r>
      <w:r w:rsidR="00FD26DA">
        <w:t xml:space="preserve">Fedor Timmerwerken </w:t>
      </w:r>
      <w:r>
        <w:t>het recht bepaalde werkzaamheden te laten verrichten door derden.</w:t>
      </w:r>
    </w:p>
    <w:p w:rsidR="00F120F9" w:rsidRDefault="004178B6">
      <w:pPr>
        <w:pStyle w:val="Heading1"/>
        <w:rPr>
          <w:rFonts w:ascii="Calibri" w:eastAsia="Calibri" w:hAnsi="Calibri" w:cs="Calibri"/>
          <w:b/>
          <w:color w:val="ED7D31"/>
        </w:rPr>
      </w:pPr>
      <w:r>
        <w:rPr>
          <w:rFonts w:ascii="Calibri" w:eastAsia="Calibri" w:hAnsi="Calibri" w:cs="Calibri"/>
          <w:b/>
          <w:color w:val="ED7D31"/>
        </w:rPr>
        <w:t>Artikel 6 Wijzigingen en meerwerk</w:t>
      </w:r>
    </w:p>
    <w:p w:rsidR="00F120F9" w:rsidRDefault="004178B6">
      <w:r>
        <w:t>Partijen kunnen tussentijds overeenkomen dat de aanpak en omvang van de overeenkomst en/of de daaruit voortvloeiende werkzaamheden word</w:t>
      </w:r>
      <w:r>
        <w:t>en uitgebreid of gewijzigd. Meerwerk zal door </w:t>
      </w:r>
      <w:r w:rsidR="00FD26DA">
        <w:t>Fedor Timmerwerken</w:t>
      </w:r>
      <w:r>
        <w:t> </w:t>
      </w:r>
      <w:r>
        <w:t>in principe slechts dan worden verricht, indien door partijen daaromtrent een schriftelijke nadere overeenkomst is getekend.</w:t>
      </w:r>
    </w:p>
    <w:p w:rsidR="00F120F9" w:rsidRDefault="004178B6">
      <w:r>
        <w:t xml:space="preserve">Deze extra werkzaamheden zullen door cliënt </w:t>
      </w:r>
      <w:r>
        <w:t>worden vergoed volgens de gebruikelijke tarieven van</w:t>
      </w:r>
      <w:r>
        <w:rPr>
          <w:shd w:val="clear" w:color="auto" w:fill="BFBFBF"/>
        </w:rPr>
        <w:t xml:space="preserve">                              </w:t>
      </w:r>
      <w:r>
        <w:t>.</w:t>
      </w:r>
    </w:p>
    <w:p w:rsidR="00F120F9" w:rsidRDefault="004178B6">
      <w:r>
        <w:t>Client aanvaardt dat door wijzigingen van de werkzaamheden als bedoeld in artikel 6.1 het overeengekomen of verwachte tijdsstip van voltooiing van de overeenkomst kan worde</w:t>
      </w:r>
      <w:r>
        <w:t>n beïnvloed.</w:t>
      </w:r>
    </w:p>
    <w:p w:rsidR="00F120F9" w:rsidRDefault="004178B6">
      <w:r>
        <w:t xml:space="preserve">Indien naar het oordeel van </w:t>
      </w:r>
      <w:r w:rsidR="00FD26DA">
        <w:t>Fedor Timmerwerken</w:t>
      </w:r>
      <w:r>
        <w:t> </w:t>
      </w:r>
      <w:r>
        <w:t>een wijziging in de uitvoering van de overeenkomst nodig is om aan de verplichtingen jegens cliënt te voldoen, is </w:t>
      </w:r>
      <w:r w:rsidR="00FD26DA">
        <w:t>Fedor Timmerwerken</w:t>
      </w:r>
      <w:r>
        <w:t> </w:t>
      </w:r>
      <w:r>
        <w:t>bevoegd die wijzigi</w:t>
      </w:r>
      <w:r>
        <w:t>ng, naar redelijkheid en billijkheid aan te brengen.</w:t>
      </w:r>
    </w:p>
    <w:p w:rsidR="00F120F9" w:rsidRDefault="004178B6">
      <w:pPr>
        <w:pStyle w:val="Heading1"/>
        <w:rPr>
          <w:rFonts w:ascii="Calibri" w:eastAsia="Calibri" w:hAnsi="Calibri" w:cs="Calibri"/>
          <w:b/>
          <w:color w:val="ED7D31"/>
        </w:rPr>
      </w:pPr>
      <w:r>
        <w:rPr>
          <w:rFonts w:ascii="Calibri" w:eastAsia="Calibri" w:hAnsi="Calibri" w:cs="Calibri"/>
          <w:b/>
          <w:color w:val="ED7D31"/>
        </w:rPr>
        <w:t>Artikel 7 Honorarium</w:t>
      </w:r>
    </w:p>
    <w:p w:rsidR="00F120F9" w:rsidRDefault="004178B6">
      <w:r>
        <w:t>Partijen kunnen bij het tot stand komen van de overeenkomst een tarief per uur of een vast honorarium overeenkomen.</w:t>
      </w:r>
    </w:p>
    <w:p w:rsidR="00F120F9" w:rsidRDefault="004178B6">
      <w:r>
        <w:t>Beide tarieven zijn inclusief reis- en verblijfskosten.</w:t>
      </w:r>
    </w:p>
    <w:p w:rsidR="00F120F9" w:rsidRDefault="004178B6">
      <w:pPr>
        <w:pStyle w:val="Heading1"/>
        <w:rPr>
          <w:rFonts w:ascii="Calibri" w:eastAsia="Calibri" w:hAnsi="Calibri" w:cs="Calibri"/>
          <w:b/>
          <w:color w:val="ED7D31"/>
        </w:rPr>
      </w:pPr>
      <w:r>
        <w:rPr>
          <w:rFonts w:ascii="Calibri" w:eastAsia="Calibri" w:hAnsi="Calibri" w:cs="Calibri"/>
          <w:b/>
          <w:color w:val="ED7D31"/>
        </w:rPr>
        <w:t>Artikel 8 Prijs en betaling</w:t>
      </w:r>
    </w:p>
    <w:p w:rsidR="00F120F9" w:rsidRDefault="004178B6">
      <w:r>
        <w:t>Betaling door cliënt dient te geschieden binnen 14 dagen na factuurdatum, zonder korting of verrekening door overschrijving naar een door </w:t>
      </w:r>
      <w:r w:rsidR="00FD26DA">
        <w:t>Fedor Timmerwerken</w:t>
      </w:r>
      <w:r>
        <w:t xml:space="preserve"> </w:t>
      </w:r>
      <w:r>
        <w:t>aan te wijzen bankrekening.       </w:t>
      </w:r>
    </w:p>
    <w:p w:rsidR="00F120F9" w:rsidRDefault="004178B6">
      <w:r>
        <w:t>Client dient 5</w:t>
      </w:r>
      <w:r>
        <w:t>0 % van het overeengekomen honorarium vooraf te voldoen, tenzij partijen schriftelijk anders overeengekomen zijn.</w:t>
      </w:r>
    </w:p>
    <w:p w:rsidR="00F120F9" w:rsidRDefault="004178B6">
      <w:r>
        <w:t>Indien cliënt de verschuldigde bedragen niet binnen de overeengekomen termijn betaalt, verkeerd hij zonder ingebrekestelling in verzuim </w:t>
      </w:r>
      <w:r w:rsidR="00FD26DA">
        <w:t>Fedor Timmerwerken</w:t>
      </w:r>
      <w:r>
        <w:t xml:space="preserve"> </w:t>
      </w:r>
      <w:r>
        <w:t>is bevoegd de vordering uit handen te geven in welk geval de cliënt naast het alsdan verschuldigde totale</w:t>
      </w:r>
      <w:r>
        <w:rPr>
          <w:sz w:val="24"/>
          <w:szCs w:val="24"/>
        </w:rPr>
        <w:t xml:space="preserve"> </w:t>
      </w:r>
      <w:r>
        <w:t>bedrag tevens gehouden zal</w:t>
      </w:r>
      <w:r>
        <w:rPr>
          <w:sz w:val="24"/>
          <w:szCs w:val="24"/>
        </w:rPr>
        <w:t xml:space="preserve"> </w:t>
      </w:r>
      <w:r>
        <w:t>zijn tot vergoeding van buitengerechtelijke incassokosten, waarvan de hoogte wordt bepa</w:t>
      </w:r>
      <w:r>
        <w:t>ald op 15% van het totale verschuldigde bedrag, en van eventuele gerechtelijke kosten.</w:t>
      </w:r>
    </w:p>
    <w:p w:rsidR="00F120F9" w:rsidRDefault="004178B6">
      <w:r>
        <w:t>Heeft cliënt bezwaar tegen een factuur van </w:t>
      </w:r>
      <w:r w:rsidR="00FD26DA">
        <w:t>Fedor Timmerwerken</w:t>
      </w:r>
      <w:r>
        <w:t> </w:t>
      </w:r>
      <w:r>
        <w:t xml:space="preserve">dan geeft cliënt dit binnen 14 dagen na dagtekening van de factuur te kennen. Cliënt </w:t>
      </w:r>
      <w:r>
        <w:t>heeft tot 14 dagen na dagtekening van de factuur de tijd dit bezwaar schriftelijk te motiveren. Indien cliënt niet aan bovenstaande heeft voldaan, wordt cliënt geacht de factuur te hebben aanvaard.</w:t>
      </w:r>
    </w:p>
    <w:p w:rsidR="00F120F9" w:rsidRDefault="004178B6">
      <w:r>
        <w:t xml:space="preserve">Alle prijzen zijn exclusief btw en andere heffingen welke </w:t>
      </w:r>
      <w:r>
        <w:t>van overheidswege worden opgelegd.</w:t>
      </w:r>
    </w:p>
    <w:p w:rsidR="00F120F9" w:rsidRDefault="004178B6">
      <w:pPr>
        <w:pStyle w:val="Heading1"/>
        <w:rPr>
          <w:rFonts w:ascii="Calibri" w:eastAsia="Calibri" w:hAnsi="Calibri" w:cs="Calibri"/>
          <w:b/>
          <w:color w:val="ED7D31"/>
        </w:rPr>
      </w:pPr>
      <w:r>
        <w:rPr>
          <w:rFonts w:ascii="Calibri" w:eastAsia="Calibri" w:hAnsi="Calibri" w:cs="Calibri"/>
          <w:b/>
          <w:color w:val="ED7D31"/>
        </w:rPr>
        <w:lastRenderedPageBreak/>
        <w:t>Artikel 9 Termijnen</w:t>
      </w:r>
    </w:p>
    <w:p w:rsidR="00F120F9" w:rsidRDefault="004178B6">
      <w:r>
        <w:t>Overschrijding van een overeengekomen (op)leveringstermijn geeft de cliënt niet het recht de overeenkomst te annuleren, of de afname van - of betaling voor diensten te weigeren, tenzij hij </w:t>
      </w:r>
      <w:r w:rsidR="00FD26DA">
        <w:t>Fedor Timmerwerken</w:t>
      </w:r>
      <w:r>
        <w:t> </w:t>
      </w:r>
      <w:r>
        <w:t>schriftelijk alsnog een redelijke termijn voor de levering heeft gesteld en </w:t>
      </w:r>
      <w:r w:rsidR="00FD26DA">
        <w:t>Fedor Timmerwerken</w:t>
      </w:r>
      <w:r>
        <w:t xml:space="preserve"> </w:t>
      </w:r>
      <w:r>
        <w:t>ook binnen deze termijn niet aan haar verplichtingen zal hebben voldaan.</w:t>
      </w:r>
    </w:p>
    <w:p w:rsidR="00F120F9" w:rsidRDefault="004178B6">
      <w:pPr>
        <w:pStyle w:val="Heading1"/>
        <w:rPr>
          <w:rFonts w:ascii="Calibri" w:eastAsia="Calibri" w:hAnsi="Calibri" w:cs="Calibri"/>
          <w:b/>
          <w:color w:val="ED7D31"/>
        </w:rPr>
      </w:pPr>
      <w:r>
        <w:rPr>
          <w:rFonts w:ascii="Calibri" w:eastAsia="Calibri" w:hAnsi="Calibri" w:cs="Calibri"/>
          <w:b/>
          <w:color w:val="ED7D31"/>
        </w:rPr>
        <w:t>Artikel 10 Overmacht</w:t>
      </w:r>
    </w:p>
    <w:p w:rsidR="00F120F9" w:rsidRDefault="004178B6">
      <w:r>
        <w:t>Bij overmacht w</w:t>
      </w:r>
      <w:r>
        <w:t xml:space="preserve">orden de leverings- en andere verplichtingen van </w:t>
      </w:r>
      <w:r w:rsidR="00FD26DA">
        <w:t>Fedor Timmerwerken</w:t>
      </w:r>
      <w:r>
        <w:t> </w:t>
      </w:r>
      <w:r>
        <w:t>opgeschort. In dat geval is </w:t>
      </w:r>
      <w:r w:rsidR="00FD26DA">
        <w:t>Fedor Timmerwerken</w:t>
      </w:r>
      <w:r>
        <w:t> </w:t>
      </w:r>
      <w:r>
        <w:t>verplicht te leveren zodra dit redelijkerwijs mogelijk is. Met overmacht wordt gelijk gesteld onvoorziene omstandigheden met betrekking tot personen en / of materiaal waarvan </w:t>
      </w:r>
      <w:r w:rsidR="00FD26DA">
        <w:t>Fedor Timmerwerken</w:t>
      </w:r>
      <w:r>
        <w:t> </w:t>
      </w:r>
      <w:r>
        <w:t>zich bij de uitvoering van de overeenko</w:t>
      </w:r>
      <w:r>
        <w:t xml:space="preserve">mst bedient of pleegt te bedienen, welke van dien aard zijn dat de uitvoering van de overeenkomst daardoor onmogelijk, dan wel dermate bezwaarlijk en/of onevenredig kostbaar wordt dat prompte naleving van de overeenkomst in redelijkheid niet van </w:t>
      </w:r>
      <w:r w:rsidR="00FD26DA">
        <w:t>Fedor Timmerwerken</w:t>
      </w:r>
      <w:r>
        <w:t> </w:t>
      </w:r>
      <w:r>
        <w:t>kan worden gevergd.</w:t>
      </w:r>
    </w:p>
    <w:p w:rsidR="00F120F9" w:rsidRDefault="004178B6">
      <w:r>
        <w:t>Als zodanige omstandigheden komen onder meer in aanmerking: overheidsmaatregelen, bedrijfs-, verkeers- en of transportstoringen, storingen in de aflevering van een gereed product, grondstoffen en / of hulp</w:t>
      </w:r>
      <w:r>
        <w:t>middelen, ziekte van ingezet personeel, werkstakingen, uitsluitingen, belemmeringen door derden, door beide partijen onvoorziene technische complicaties etc. Indien </w:t>
      </w:r>
      <w:r w:rsidR="00FD26DA">
        <w:t>Fedor Timmerwerken</w:t>
      </w:r>
      <w:r>
        <w:t xml:space="preserve"> </w:t>
      </w:r>
      <w:r>
        <w:t>bij het intreden van de overmacht al gedeeltelijk</w:t>
      </w:r>
      <w:r>
        <w:t xml:space="preserve"> aan haar verplichtingen heeft voldaan is </w:t>
      </w:r>
      <w:r w:rsidR="00FD26DA">
        <w:t>Fedor Timmerwerken</w:t>
      </w:r>
      <w:r>
        <w:t> </w:t>
      </w:r>
      <w:r>
        <w:t>gerechtigd het reeds geleverde afzonderlijk te factureren en is de cliënt gehouden deze factuur te voldoen als betrof het een afzonderlijke transactie.</w:t>
      </w:r>
    </w:p>
    <w:p w:rsidR="00F120F9" w:rsidRDefault="004178B6">
      <w:pPr>
        <w:pStyle w:val="Heading1"/>
        <w:rPr>
          <w:rFonts w:ascii="Calibri" w:eastAsia="Calibri" w:hAnsi="Calibri" w:cs="Calibri"/>
          <w:b/>
          <w:color w:val="ED7D31"/>
        </w:rPr>
      </w:pPr>
      <w:r>
        <w:rPr>
          <w:rFonts w:ascii="Calibri" w:eastAsia="Calibri" w:hAnsi="Calibri" w:cs="Calibri"/>
          <w:b/>
          <w:color w:val="ED7D31"/>
        </w:rPr>
        <w:t>Artikel 11 Aansprakel</w:t>
      </w:r>
      <w:r>
        <w:rPr>
          <w:rFonts w:ascii="Calibri" w:eastAsia="Calibri" w:hAnsi="Calibri" w:cs="Calibri"/>
          <w:b/>
          <w:color w:val="ED7D31"/>
        </w:rPr>
        <w:t>ijkheid</w:t>
      </w:r>
    </w:p>
    <w:p w:rsidR="00F120F9" w:rsidRDefault="004178B6">
      <w:r>
        <w:t>Behalve voor zover dat naar Nederlands recht onmogelijk is, is iedere aansprakelijkheid van </w:t>
      </w:r>
      <w:r w:rsidR="00FD26DA">
        <w:t>Fedor Timmerwerken</w:t>
      </w:r>
      <w:r>
        <w:t> </w:t>
      </w:r>
      <w:r>
        <w:t>beperkt tot het bedrag dat in het desbetreffende geval door haar aansprakelijkheidsverzekering wordt uitbetaald. Al</w:t>
      </w:r>
      <w:r>
        <w:t xml:space="preserve">s om welke reden dan ook geen uitkering door die verzekering mocht plaatsvinden, is iedere aansprakelijkheid beperkt tot vergoeding van de directe schade tot maximaal het bedrag van de tot het moment van de fout gedeclareerde opdrachtsom. </w:t>
      </w:r>
    </w:p>
    <w:p w:rsidR="00F120F9" w:rsidRDefault="004178B6">
      <w:r>
        <w:t>De totale aanspr</w:t>
      </w:r>
      <w:r>
        <w:t>akelijk van </w:t>
      </w:r>
      <w:r w:rsidR="00FD26DA">
        <w:t>Fedor Timmerwerken</w:t>
      </w:r>
      <w:r>
        <w:t> </w:t>
      </w:r>
      <w:r>
        <w:t>wegens toerekenbare tekortkoming in nakoming van de overeenkomst is beperkt tot vergoeding van de directe schade tot maximaal het bedrag van de tot het moment van de fout gedeclareerde opdrachtsom.</w:t>
      </w:r>
    </w:p>
    <w:p w:rsidR="00F120F9" w:rsidRDefault="004178B6">
      <w:r>
        <w:t>Bij o</w:t>
      </w:r>
      <w:r>
        <w:t>pdrachten met een duur langer dan 1 jaar is de vergoeding beperkt tot een maximum van 1 maal het jaarhonorarium.</w:t>
      </w:r>
    </w:p>
    <w:p w:rsidR="00F120F9" w:rsidRDefault="004178B6">
      <w:r>
        <w:t>De aansprakelijkheid van </w:t>
      </w:r>
      <w:r w:rsidR="00FD26DA">
        <w:t>Fedor Timmerwerken</w:t>
      </w:r>
      <w:r>
        <w:t> </w:t>
      </w:r>
      <w:r>
        <w:t xml:space="preserve">wegens toerekenbare tekortkoming in de nakoming van de overeenkomst ontstaat </w:t>
      </w:r>
      <w:r>
        <w:t>slechts indien cliënt</w:t>
      </w:r>
      <w:r>
        <w:br/>
      </w:r>
      <w:r w:rsidR="00FD26DA">
        <w:t>Fedor Timmerwerken</w:t>
      </w:r>
      <w:r>
        <w:t xml:space="preserve"> </w:t>
      </w:r>
      <w:r>
        <w:t>onverwijld en deugdelijk schriftelijk in gebreke stelt, stellende daarbij een redelijke termijn ter zuivering van de tekortkoming, en </w:t>
      </w:r>
      <w:r>
        <w:br/>
      </w:r>
      <w:r w:rsidR="00FD26DA">
        <w:t>Fedor Timmerwerken</w:t>
      </w:r>
      <w:r>
        <w:t xml:space="preserve"> </w:t>
      </w:r>
      <w:r>
        <w:t>ook na die termij</w:t>
      </w:r>
      <w:r>
        <w:t>n toerekenbaar in de nakoming van de verplichtingen tekort blijft schieten.</w:t>
      </w:r>
    </w:p>
    <w:p w:rsidR="00F120F9" w:rsidRDefault="00FD26DA">
      <w:r>
        <w:t>Fedor Timmerwerken</w:t>
      </w:r>
      <w:r w:rsidR="004178B6">
        <w:t> </w:t>
      </w:r>
      <w:r w:rsidR="004178B6">
        <w:t>is niet aansprakelijk voor schade die is veroorzaakt doordat cliënt tekort is geschoten in het tijdig verstrekken van juiste informatie wel</w:t>
      </w:r>
      <w:r w:rsidR="004178B6">
        <w:t>k </w:t>
      </w:r>
      <w:r>
        <w:t>Fedor Timmerwerken</w:t>
      </w:r>
      <w:r w:rsidR="004178B6">
        <w:t>,</w:t>
      </w:r>
      <w:r w:rsidR="004178B6">
        <w:t xml:space="preserve"> naar haar oordeel, nodig heeft voor een juiste uitvoering van de overeenkomst. </w:t>
      </w:r>
    </w:p>
    <w:p w:rsidR="00F120F9" w:rsidRDefault="004178B6">
      <w:r>
        <w:lastRenderedPageBreak/>
        <w:t>Buiten de in artikel 11 lid 1 genoemde aansprakelijkheid rust op </w:t>
      </w:r>
      <w:r w:rsidR="00FD26DA">
        <w:t>Fedor Timmerwerken</w:t>
      </w:r>
      <w:r>
        <w:t> </w:t>
      </w:r>
      <w:r>
        <w:t>geen enkele aansprakelijkh</w:t>
      </w:r>
      <w:r>
        <w:t>eid voor schadevergoeding jegens cliënt en/of derden, ongeacht de grond waarop een actie zou worden gebaseerd.</w:t>
      </w:r>
    </w:p>
    <w:p w:rsidR="00F120F9" w:rsidRDefault="004178B6">
      <w:r>
        <w:t>Een aanspraak vervalt in ieder geval, als </w:t>
      </w:r>
      <w:r w:rsidR="00FD26DA">
        <w:t>Fedor Timmerwerken</w:t>
      </w:r>
      <w:r>
        <w:t> </w:t>
      </w:r>
      <w:r>
        <w:t>niet binnen een jaar na de ontdekking van een gebeurtenis of o</w:t>
      </w:r>
      <w:r>
        <w:t>mstandigheid die aanleiding geeft of kan geven tot aansprakelijkheid, van de aanspraak schriftelijk in kennis is gesteld.</w:t>
      </w:r>
    </w:p>
    <w:p w:rsidR="00F120F9" w:rsidRDefault="004178B6">
      <w:pPr>
        <w:pStyle w:val="Heading1"/>
        <w:rPr>
          <w:rFonts w:ascii="Calibri" w:eastAsia="Calibri" w:hAnsi="Calibri" w:cs="Calibri"/>
          <w:b/>
          <w:color w:val="ED7D31"/>
        </w:rPr>
      </w:pPr>
      <w:r>
        <w:rPr>
          <w:rFonts w:ascii="Calibri" w:eastAsia="Calibri" w:hAnsi="Calibri" w:cs="Calibri"/>
          <w:b/>
          <w:color w:val="ED7D31"/>
        </w:rPr>
        <w:t>Artikel 12 Annulering</w:t>
      </w:r>
    </w:p>
    <w:p w:rsidR="00F120F9" w:rsidRDefault="00FD26DA">
      <w:r>
        <w:t>Fedor Timmerwerken</w:t>
      </w:r>
      <w:r w:rsidR="004178B6">
        <w:t> </w:t>
      </w:r>
      <w:r w:rsidR="004178B6">
        <w:t>behoudt zich het recht voor om overeenkomsten geheel of gedeeltelijk te</w:t>
      </w:r>
      <w:r w:rsidR="004178B6">
        <w:t xml:space="preserve"> annuleren bij zodanige wijziging van wet, regelgeving, rechtspraak of (semi-)overheidsbeleid dat nakoming in redelijkheid niet meer van </w:t>
      </w:r>
      <w:r>
        <w:t>Fedor Timmerwerken</w:t>
      </w:r>
      <w:r w:rsidR="004178B6">
        <w:t xml:space="preserve"> </w:t>
      </w:r>
      <w:r w:rsidR="004178B6">
        <w:t>kan worden verlangd. In dergelijke gevallen dient </w:t>
      </w:r>
      <w:r>
        <w:t>Fedor Timmerwerken</w:t>
      </w:r>
      <w:r w:rsidR="004178B6">
        <w:t xml:space="preserve"> </w:t>
      </w:r>
      <w:r w:rsidR="004178B6">
        <w:t>de annulering schriftelijk aan de cliënt mede te delen. Deze is in dergelijke gevallen niet gerechtigd een schadevergoeding te vorderen.</w:t>
      </w:r>
    </w:p>
    <w:p w:rsidR="00F120F9" w:rsidRDefault="004178B6">
      <w:pPr>
        <w:pStyle w:val="Heading1"/>
        <w:rPr>
          <w:rFonts w:ascii="Calibri" w:eastAsia="Calibri" w:hAnsi="Calibri" w:cs="Calibri"/>
          <w:b/>
          <w:color w:val="ED7D31"/>
        </w:rPr>
      </w:pPr>
      <w:r>
        <w:rPr>
          <w:rFonts w:ascii="Calibri" w:eastAsia="Calibri" w:hAnsi="Calibri" w:cs="Calibri"/>
          <w:b/>
          <w:color w:val="ED7D31"/>
        </w:rPr>
        <w:t>Artikel 13 Beëindiging</w:t>
      </w:r>
    </w:p>
    <w:p w:rsidR="00F120F9" w:rsidRDefault="004178B6">
      <w:r>
        <w:t>Tussentijdse beëindiging van een overeenkomst is slechts mogelijk indien partijen z</w:t>
      </w:r>
      <w:r>
        <w:t>ulks uitdrukkelijk schriftelijk zijn overeengekomen of onder betaling van het verschuldigde bedrag tot het oorspronkelijke einde van de overeenkomst, tenzij partijen schriftelijk een andere betaling schriftelijk overeengekomen zijn.</w:t>
      </w:r>
    </w:p>
    <w:p w:rsidR="00F120F9" w:rsidRDefault="004178B6">
      <w:pPr>
        <w:pStyle w:val="Heading1"/>
        <w:rPr>
          <w:rFonts w:ascii="Calibri" w:eastAsia="Calibri" w:hAnsi="Calibri" w:cs="Calibri"/>
          <w:b/>
          <w:color w:val="ED7D31"/>
        </w:rPr>
      </w:pPr>
      <w:r>
        <w:rPr>
          <w:rFonts w:ascii="Calibri" w:eastAsia="Calibri" w:hAnsi="Calibri" w:cs="Calibri"/>
          <w:b/>
          <w:color w:val="ED7D31"/>
        </w:rPr>
        <w:t>Artikel 14 Toepasselijk</w:t>
      </w:r>
      <w:r>
        <w:rPr>
          <w:rFonts w:ascii="Calibri" w:eastAsia="Calibri" w:hAnsi="Calibri" w:cs="Calibri"/>
          <w:b/>
          <w:color w:val="ED7D31"/>
        </w:rPr>
        <w:t xml:space="preserve"> recht</w:t>
      </w:r>
    </w:p>
    <w:p w:rsidR="00F120F9" w:rsidRDefault="004178B6">
      <w:r>
        <w:t>Op alle overeenkomsten is Nederlands recht van toepassing.</w:t>
      </w:r>
    </w:p>
    <w:p w:rsidR="00F120F9" w:rsidRDefault="004178B6">
      <w:pPr>
        <w:pStyle w:val="Heading1"/>
        <w:rPr>
          <w:rFonts w:ascii="Calibri" w:eastAsia="Calibri" w:hAnsi="Calibri" w:cs="Calibri"/>
          <w:b/>
          <w:color w:val="ED7D31"/>
        </w:rPr>
      </w:pPr>
      <w:r>
        <w:rPr>
          <w:rFonts w:ascii="Calibri" w:eastAsia="Calibri" w:hAnsi="Calibri" w:cs="Calibri"/>
          <w:b/>
          <w:color w:val="ED7D31"/>
        </w:rPr>
        <w:t>Artikel 15 Geschillen</w:t>
      </w:r>
    </w:p>
    <w:p w:rsidR="00F120F9" w:rsidRDefault="004178B6">
      <w:r>
        <w:t>Alle geschillen tussen </w:t>
      </w:r>
      <w:r w:rsidR="00FD26DA">
        <w:t>Fedor Timmerwerken</w:t>
      </w:r>
      <w:r>
        <w:t> </w:t>
      </w:r>
      <w:r>
        <w:t>en cliënt die mochten ontstaan naar aanleiding van deze Overeenkomst of van overeenkomsten en akten die daarvan het gevolg zijn, zullen in eerste instantie worden beslecht door middel van gerechtelijke procedures voor de bevoegde rechter te Amsterdam.</w:t>
      </w:r>
    </w:p>
    <w:p w:rsidR="00F120F9" w:rsidRDefault="004178B6">
      <w:r>
        <w:t>All</w:t>
      </w:r>
      <w:r>
        <w:t>e in redelijkheid gemaakt gerechtelijke en buitengerechtelijke kosten, die het gevolg zijn van niet-nakoming door cliënt van verplichtingen voortvloeiende uit de overeenkomst komen voor rekening van cliënt.</w:t>
      </w:r>
    </w:p>
    <w:p w:rsidR="00F120F9" w:rsidRDefault="004178B6">
      <w:pPr>
        <w:pStyle w:val="Heading1"/>
        <w:rPr>
          <w:rFonts w:ascii="Calibri" w:eastAsia="Calibri" w:hAnsi="Calibri" w:cs="Calibri"/>
          <w:b/>
          <w:color w:val="ED7D31"/>
        </w:rPr>
      </w:pPr>
      <w:r>
        <w:rPr>
          <w:rFonts w:ascii="Calibri" w:eastAsia="Calibri" w:hAnsi="Calibri" w:cs="Calibri"/>
          <w:b/>
          <w:color w:val="ED7D31"/>
        </w:rPr>
        <w:t>Artikel 16 Slotbepaling</w:t>
      </w:r>
    </w:p>
    <w:p w:rsidR="00F120F9" w:rsidRDefault="00FD26DA">
      <w:bookmarkStart w:id="0" w:name="_gjdgxs" w:colFirst="0" w:colLast="0"/>
      <w:bookmarkEnd w:id="0"/>
      <w:r>
        <w:t>Fedor Timmerwerken</w:t>
      </w:r>
      <w:r w:rsidR="004178B6">
        <w:t> is bevoegd deze algemene voorwaarden te wijzigen. Van toepassing is steeds de laatst gedeponeerde versie van de algemene voorwaarden.</w:t>
      </w:r>
    </w:p>
    <w:p w:rsidR="00F120F9" w:rsidRDefault="004178B6">
      <w:r>
        <w:t xml:space="preserve">Ingeval een of meer bepalingen van deze algemene voorwaarden nietig blijken te zijn of worden vernietigd, </w:t>
      </w:r>
      <w:r>
        <w:t>blijven deze algemene voorwaarden voor het overige in stand. Voor de nietige dan wel vernietigde bepaling(en) treedt alsdan een rechtsgeldige bepaling in de plaats, die de nietige dan wel vernietigde bepaling(en) voor wat betreft de inhoud, strekking en ge</w:t>
      </w:r>
      <w:r>
        <w:t>volg zo dicht mogelijk benadert.</w:t>
      </w:r>
    </w:p>
    <w:p w:rsidR="00F120F9" w:rsidRDefault="004178B6">
      <w:r>
        <w:t>Client is niet gerechtigd zijn rechten en verplichtingen uit hoofde van de overeenkomst over te dragen zonder voorafgaande schriftelijke toestemming van </w:t>
      </w:r>
      <w:r w:rsidR="00FD26DA">
        <w:t>Fedor Timmerwerken</w:t>
      </w:r>
      <w:r>
        <w:t>.</w:t>
      </w:r>
    </w:p>
    <w:p w:rsidR="00E704E9" w:rsidRDefault="00E704E9">
      <w:pPr>
        <w:rPr>
          <w:u w:val="single"/>
        </w:rPr>
      </w:pPr>
      <w:r>
        <w:rPr>
          <w:u w:val="single"/>
        </w:rPr>
        <w:br w:type="page"/>
      </w:r>
    </w:p>
    <w:p w:rsidR="00F120F9" w:rsidRDefault="004178B6">
      <w:r>
        <w:rPr>
          <w:u w:val="single"/>
        </w:rPr>
        <w:lastRenderedPageBreak/>
        <w:t>Ondertekening:</w:t>
      </w:r>
    </w:p>
    <w:p w:rsidR="00F120F9" w:rsidRDefault="004178B6">
      <w:r>
        <w:t>Aldus overeengekomen en ondertekend:</w:t>
      </w:r>
      <w:bookmarkStart w:id="1" w:name="_GoBack"/>
      <w:bookmarkEnd w:id="1"/>
    </w:p>
    <w:tbl>
      <w:tblPr>
        <w:tblStyle w:val="a"/>
        <w:tblW w:w="8874" w:type="dxa"/>
        <w:tblLayout w:type="fixed"/>
        <w:tblLook w:val="0400" w:firstRow="0" w:lastRow="0" w:firstColumn="0" w:lastColumn="0" w:noHBand="0" w:noVBand="1"/>
      </w:tblPr>
      <w:tblGrid>
        <w:gridCol w:w="8874"/>
      </w:tblGrid>
      <w:tr w:rsidR="00F120F9">
        <w:trPr>
          <w:trHeight w:val="1180"/>
        </w:trPr>
        <w:tc>
          <w:tcPr>
            <w:tcW w:w="8874" w:type="dxa"/>
            <w:shd w:val="clear" w:color="auto" w:fill="FFFFFF"/>
            <w:vAlign w:val="center"/>
          </w:tcPr>
          <w:p w:rsidR="00F120F9" w:rsidRDefault="004178B6">
            <w:pPr>
              <w:pBdr>
                <w:bottom w:val="single" w:sz="12" w:space="1" w:color="000000"/>
              </w:pBdr>
              <w:rPr>
                <w:i/>
                <w:color w:val="767171"/>
              </w:rPr>
            </w:pPr>
            <w:r>
              <w:rPr>
                <w:i/>
                <w:color w:val="767171"/>
              </w:rPr>
              <w:t>Partij 1                                                                                                                                       Partij 2</w:t>
            </w:r>
          </w:p>
          <w:p w:rsidR="00E704E9" w:rsidRDefault="00E704E9">
            <w:pPr>
              <w:pBdr>
                <w:bottom w:val="single" w:sz="12" w:space="1" w:color="000000"/>
              </w:pBdr>
              <w:rPr>
                <w:i/>
                <w:color w:val="767171"/>
              </w:rPr>
            </w:pPr>
          </w:p>
          <w:p w:rsidR="00E704E9" w:rsidRDefault="00E704E9">
            <w:pPr>
              <w:pBdr>
                <w:bottom w:val="single" w:sz="12" w:space="1" w:color="000000"/>
              </w:pBdr>
              <w:rPr>
                <w:i/>
                <w:color w:val="767171"/>
              </w:rPr>
            </w:pPr>
          </w:p>
          <w:p w:rsidR="00E704E9" w:rsidRDefault="00E704E9">
            <w:pPr>
              <w:pBdr>
                <w:bottom w:val="single" w:sz="12" w:space="1" w:color="000000"/>
              </w:pBdr>
              <w:rPr>
                <w:i/>
                <w:color w:val="767171"/>
              </w:rPr>
            </w:pPr>
          </w:p>
          <w:p w:rsidR="00F120F9" w:rsidRDefault="00F120F9">
            <w:pPr>
              <w:pBdr>
                <w:bottom w:val="single" w:sz="12" w:space="1" w:color="000000"/>
              </w:pBdr>
              <w:rPr>
                <w:i/>
                <w:color w:val="767171"/>
              </w:rPr>
            </w:pPr>
          </w:p>
          <w:p w:rsidR="00F120F9" w:rsidRDefault="00F120F9" w:rsidP="00FD26DA">
            <w:pPr>
              <w:rPr>
                <w:i/>
                <w:color w:val="767171"/>
              </w:rPr>
            </w:pPr>
          </w:p>
        </w:tc>
      </w:tr>
      <w:tr w:rsidR="00F120F9">
        <w:trPr>
          <w:trHeight w:val="320"/>
        </w:trPr>
        <w:tc>
          <w:tcPr>
            <w:tcW w:w="8874" w:type="dxa"/>
            <w:shd w:val="clear" w:color="auto" w:fill="FFFFFF"/>
            <w:vAlign w:val="center"/>
          </w:tcPr>
          <w:p w:rsidR="00F120F9" w:rsidRDefault="00F120F9">
            <w:pPr>
              <w:spacing w:after="0"/>
              <w:rPr>
                <w:sz w:val="24"/>
                <w:szCs w:val="24"/>
              </w:rPr>
            </w:pPr>
          </w:p>
        </w:tc>
      </w:tr>
    </w:tbl>
    <w:p w:rsidR="00F120F9" w:rsidRDefault="00F120F9">
      <w:pPr>
        <w:rPr>
          <w:sz w:val="24"/>
          <w:szCs w:val="24"/>
        </w:rPr>
      </w:pPr>
    </w:p>
    <w:p w:rsidR="00F120F9" w:rsidRDefault="00F120F9">
      <w:pPr>
        <w:tabs>
          <w:tab w:val="left" w:pos="1320"/>
        </w:tabs>
      </w:pPr>
    </w:p>
    <w:sectPr w:rsidR="00F120F9" w:rsidSect="00E704E9">
      <w:headerReference w:type="default" r:id="rId6"/>
      <w:footerReference w:type="default" r:id="rId7"/>
      <w:pgSz w:w="11906" w:h="16838"/>
      <w:pgMar w:top="1418" w:right="1417" w:bottom="1417" w:left="1417"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8B6" w:rsidRDefault="004178B6">
      <w:pPr>
        <w:spacing w:after="0" w:line="240" w:lineRule="auto"/>
      </w:pPr>
      <w:r>
        <w:separator/>
      </w:r>
    </w:p>
  </w:endnote>
  <w:endnote w:type="continuationSeparator" w:id="0">
    <w:p w:rsidR="004178B6" w:rsidRDefault="0041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F9" w:rsidRDefault="00F120F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8B6" w:rsidRDefault="004178B6">
      <w:pPr>
        <w:spacing w:after="0" w:line="240" w:lineRule="auto"/>
      </w:pPr>
      <w:r>
        <w:separator/>
      </w:r>
    </w:p>
  </w:footnote>
  <w:footnote w:type="continuationSeparator" w:id="0">
    <w:p w:rsidR="004178B6" w:rsidRDefault="00417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0F9" w:rsidRDefault="00FD26DA">
    <w:pPr>
      <w:pBdr>
        <w:top w:val="nil"/>
        <w:left w:val="nil"/>
        <w:bottom w:val="nil"/>
        <w:right w:val="nil"/>
        <w:between w:val="nil"/>
      </w:pBdr>
      <w:tabs>
        <w:tab w:val="center" w:pos="4536"/>
        <w:tab w:val="right" w:pos="9072"/>
      </w:tabs>
      <w:spacing w:after="0" w:line="240" w:lineRule="auto"/>
      <w:rPr>
        <w:color w:val="000000"/>
      </w:rPr>
    </w:pPr>
    <w:r>
      <w:rPr>
        <w:noProof/>
        <w:lang w:val="en-US"/>
      </w:rPr>
      <w:drawing>
        <wp:anchor distT="0" distB="0" distL="114300" distR="114300" simplePos="0" relativeHeight="251659776" behindDoc="1" locked="0" layoutInCell="1" allowOverlap="1">
          <wp:simplePos x="0" y="0"/>
          <wp:positionH relativeFrom="column">
            <wp:posOffset>4624705</wp:posOffset>
          </wp:positionH>
          <wp:positionV relativeFrom="paragraph">
            <wp:posOffset>10160</wp:posOffset>
          </wp:positionV>
          <wp:extent cx="1244600" cy="7073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EDOR.jpg"/>
                  <pic:cNvPicPr/>
                </pic:nvPicPr>
                <pic:blipFill>
                  <a:blip r:embed="rId1">
                    <a:extLst>
                      <a:ext uri="{28A0092B-C50C-407E-A947-70E740481C1C}">
                        <a14:useLocalDpi xmlns:a14="http://schemas.microsoft.com/office/drawing/2010/main" val="0"/>
                      </a:ext>
                    </a:extLst>
                  </a:blip>
                  <a:stretch>
                    <a:fillRect/>
                  </a:stretch>
                </pic:blipFill>
                <pic:spPr>
                  <a:xfrm>
                    <a:off x="0" y="0"/>
                    <a:ext cx="1244600" cy="707390"/>
                  </a:xfrm>
                  <a:prstGeom prst="rect">
                    <a:avLst/>
                  </a:prstGeom>
                </pic:spPr>
              </pic:pic>
            </a:graphicData>
          </a:graphic>
          <wp14:sizeRelH relativeFrom="page">
            <wp14:pctWidth>0</wp14:pctWidth>
          </wp14:sizeRelH>
          <wp14:sizeRelV relativeFrom="page">
            <wp14:pctHeight>0</wp14:pctHeight>
          </wp14:sizeRelV>
        </wp:anchor>
      </w:drawing>
    </w:r>
  </w:p>
  <w:p w:rsidR="00F120F9" w:rsidRDefault="00FD26DA">
    <w:pPr>
      <w:pBdr>
        <w:top w:val="nil"/>
        <w:left w:val="nil"/>
        <w:bottom w:val="nil"/>
        <w:right w:val="nil"/>
        <w:between w:val="nil"/>
      </w:pBdr>
      <w:tabs>
        <w:tab w:val="center" w:pos="4536"/>
        <w:tab w:val="right" w:pos="9072"/>
      </w:tabs>
      <w:spacing w:after="0" w:line="240" w:lineRule="auto"/>
      <w:rPr>
        <w:color w:val="000000"/>
      </w:rPr>
    </w:pPr>
    <w:r>
      <w:rPr>
        <w:color w:val="000000"/>
      </w:rPr>
      <w:t xml:space="preserve">                                         </w:t>
    </w:r>
  </w:p>
  <w:p w:rsidR="00E704E9" w:rsidRPr="00E704E9" w:rsidRDefault="00E704E9">
    <w:pPr>
      <w:pBdr>
        <w:top w:val="nil"/>
        <w:left w:val="nil"/>
        <w:bottom w:val="nil"/>
        <w:right w:val="nil"/>
        <w:between w:val="nil"/>
      </w:pBdr>
      <w:tabs>
        <w:tab w:val="center" w:pos="4536"/>
        <w:tab w:val="right" w:pos="9072"/>
      </w:tabs>
      <w:spacing w:after="0" w:line="240" w:lineRule="auto"/>
      <w:rPr>
        <w:b/>
        <w:color w:val="000000"/>
        <w:sz w:val="28"/>
        <w:szCs w:val="28"/>
      </w:rPr>
    </w:pPr>
    <w:r w:rsidRPr="00E704E9">
      <w:rPr>
        <w:b/>
        <w:color w:val="000000"/>
        <w:sz w:val="28"/>
        <w:szCs w:val="28"/>
      </w:rPr>
      <w:t>Algemene leveringsvoorwaarden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120F9"/>
    <w:rsid w:val="004178B6"/>
    <w:rsid w:val="00E704E9"/>
    <w:rsid w:val="00F120F9"/>
    <w:rsid w:val="00FD2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7A9C1"/>
  <w15:docId w15:val="{DDE3F6B4-055E-4CC9-A39C-1C487CEB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21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712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121B"/>
  </w:style>
  <w:style w:type="paragraph" w:styleId="Footer">
    <w:name w:val="footer"/>
    <w:basedOn w:val="Normal"/>
    <w:link w:val="FooterChar"/>
    <w:uiPriority w:val="99"/>
    <w:unhideWhenUsed/>
    <w:rsid w:val="002712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121B"/>
  </w:style>
  <w:style w:type="character" w:styleId="Hyperlink">
    <w:name w:val="Hyperlink"/>
    <w:rsid w:val="00A521F6"/>
    <w:rPr>
      <w:rFonts w:ascii="Arial" w:hAnsi="Arial" w:cs="Arial" w:hint="default"/>
      <w:color w:val="005EC1"/>
      <w:u w:val="single"/>
    </w:rPr>
  </w:style>
  <w:style w:type="character" w:customStyle="1" w:styleId="Heading1Char">
    <w:name w:val="Heading 1 Char"/>
    <w:basedOn w:val="DefaultParagraphFont"/>
    <w:link w:val="Heading1"/>
    <w:uiPriority w:val="9"/>
    <w:rsid w:val="00A521F6"/>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Teledyne Technologies</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Holshuijsen-Adema</dc:creator>
  <cp:lastModifiedBy>De Vries, Peter (INT)</cp:lastModifiedBy>
  <cp:revision>3</cp:revision>
  <cp:lastPrinted>2019-03-05T18:13:00Z</cp:lastPrinted>
  <dcterms:created xsi:type="dcterms:W3CDTF">2017-10-12T08:26:00Z</dcterms:created>
  <dcterms:modified xsi:type="dcterms:W3CDTF">2019-03-05T18:14:00Z</dcterms:modified>
</cp:coreProperties>
</file>